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75" w:rsidRPr="00C50366" w:rsidRDefault="006264B1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50366">
        <w:rPr>
          <w:rFonts w:ascii="Times New Roman" w:eastAsia="Calibri" w:hAnsi="Times New Roman" w:cs="Times New Roman"/>
          <w:b/>
          <w:sz w:val="28"/>
        </w:rPr>
        <w:t>Контрольная точка №2</w:t>
      </w:r>
      <w:r w:rsidR="00970E75" w:rsidRPr="00C50366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="00970E75" w:rsidRPr="00C50366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:rsidR="00970E75" w:rsidRPr="00C5036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50366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</w:rPr>
        <w:t>группы</w:t>
      </w:r>
    </w:p>
    <w:p w:rsidR="00970E75" w:rsidRPr="00C5036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70E75" w:rsidRPr="00C5036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C50366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:rsidR="00970E75" w:rsidRPr="00C50366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C50366">
        <w:rPr>
          <w:rFonts w:ascii="Times New Roman" w:eastAsia="Calibri" w:hAnsi="Times New Roman" w:cs="Times New Roman"/>
          <w:sz w:val="20"/>
        </w:rPr>
        <w:t>Фамилия Имя Отчество</w:t>
      </w:r>
    </w:p>
    <w:p w:rsidR="00970E75" w:rsidRPr="00C50366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A93" w:rsidRPr="00C50366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C5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5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3B423D" w:rsidRPr="00C50366" w:rsidRDefault="003B423D" w:rsidP="00626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Какие вопросы рассматривает статистика рынка труда? </w:t>
      </w:r>
    </w:p>
    <w:p w:rsidR="006264B1" w:rsidRPr="00C50366" w:rsidRDefault="006264B1" w:rsidP="006264B1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занятости и безработицы;</w:t>
      </w:r>
      <w:bookmarkStart w:id="0" w:name="_GoBack"/>
      <w:bookmarkEnd w:id="0"/>
    </w:p>
    <w:p w:rsidR="006264B1" w:rsidRPr="00C50366" w:rsidRDefault="006264B1" w:rsidP="006264B1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вынужденной миграции населения; </w:t>
      </w:r>
    </w:p>
    <w:p w:rsidR="006264B1" w:rsidRPr="00C50366" w:rsidRDefault="006264B1" w:rsidP="006264B1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определение численности населения;</w:t>
      </w:r>
    </w:p>
    <w:p w:rsidR="006264B1" w:rsidRPr="00C50366" w:rsidRDefault="006264B1" w:rsidP="006264B1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характеристика состава населения.</w:t>
      </w:r>
    </w:p>
    <w:p w:rsidR="003B423D" w:rsidRPr="00C50366" w:rsidRDefault="003B423D" w:rsidP="006264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Укажите основные подходы к анализу механизма функционирования рынка труда:</w:t>
      </w:r>
    </w:p>
    <w:p w:rsidR="006264B1" w:rsidRPr="00C50366" w:rsidRDefault="006264B1" w:rsidP="006264B1"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ленинизм</w:t>
      </w:r>
    </w:p>
    <w:p w:rsidR="006264B1" w:rsidRPr="00C50366" w:rsidRDefault="006264B1" w:rsidP="006264B1"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монетаристская модель</w:t>
      </w:r>
    </w:p>
    <w:p w:rsidR="006264B1" w:rsidRPr="00C50366" w:rsidRDefault="006264B1" w:rsidP="006264B1"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неоклассический</w:t>
      </w:r>
    </w:p>
    <w:p w:rsidR="006264B1" w:rsidRPr="00C50366" w:rsidRDefault="006264B1" w:rsidP="006264B1">
      <w:pPr>
        <w:numPr>
          <w:ilvl w:val="1"/>
          <w:numId w:val="1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марксизм</w:t>
      </w:r>
    </w:p>
    <w:p w:rsidR="002034A2" w:rsidRPr="00C50366" w:rsidRDefault="002034A2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Структура механизма рынка труда включает:</w:t>
      </w:r>
    </w:p>
    <w:p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сотрудничество</w:t>
      </w:r>
    </w:p>
    <w:p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конкуренцию</w:t>
      </w:r>
    </w:p>
    <w:p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предложение труда</w:t>
      </w:r>
    </w:p>
    <w:p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цену труда</w:t>
      </w:r>
    </w:p>
    <w:p w:rsidR="006264B1" w:rsidRPr="00C50366" w:rsidRDefault="006264B1" w:rsidP="006264B1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спрос на труд</w:t>
      </w:r>
    </w:p>
    <w:p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Российская модель рынка труда ближе:</w:t>
      </w:r>
    </w:p>
    <w:p w:rsidR="006264B1" w:rsidRPr="00C50366" w:rsidRDefault="006264B1" w:rsidP="006264B1">
      <w:pPr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 внешнему рынку труда</w:t>
      </w:r>
    </w:p>
    <w:p w:rsidR="006264B1" w:rsidRPr="00C50366" w:rsidRDefault="006264B1" w:rsidP="006264B1">
      <w:pPr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 внутреннему рынку труда</w:t>
      </w:r>
    </w:p>
    <w:p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Совокупный спроса на рабочую силу слагается из следующих звеньев:</w:t>
      </w:r>
    </w:p>
    <w:p w:rsidR="006264B1" w:rsidRPr="00C50366" w:rsidRDefault="006264B1" w:rsidP="006264B1">
      <w:pPr>
        <w:numPr>
          <w:ilvl w:val="1"/>
          <w:numId w:val="1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индивидуальный спрос отдельно взятого покупателя</w:t>
      </w:r>
    </w:p>
    <w:p w:rsidR="006264B1" w:rsidRPr="00C50366" w:rsidRDefault="006264B1" w:rsidP="006264B1">
      <w:pPr>
        <w:numPr>
          <w:ilvl w:val="1"/>
          <w:numId w:val="1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индивидуальный спрос отдельно взятой фирмы</w:t>
      </w:r>
    </w:p>
    <w:p w:rsidR="006264B1" w:rsidRPr="00C50366" w:rsidRDefault="006264B1" w:rsidP="006264B1">
      <w:pPr>
        <w:numPr>
          <w:ilvl w:val="1"/>
          <w:numId w:val="1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суммарный спрос индивидуальных фирм данной отрасли</w:t>
      </w:r>
    </w:p>
    <w:p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Использование материальных оборотных средств характеризуется показателями:</w:t>
      </w:r>
    </w:p>
    <w:p w:rsidR="006264B1" w:rsidRPr="00C50366" w:rsidRDefault="006264B1" w:rsidP="006264B1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фондоотдача; </w:t>
      </w:r>
    </w:p>
    <w:p w:rsidR="006264B1" w:rsidRPr="00C50366" w:rsidRDefault="006264B1" w:rsidP="006264B1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оборачиваемости;</w:t>
      </w:r>
    </w:p>
    <w:p w:rsidR="006264B1" w:rsidRPr="00C50366" w:rsidRDefault="006264B1" w:rsidP="006264B1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закрепления.</w:t>
      </w:r>
    </w:p>
    <w:p w:rsidR="006264B1" w:rsidRPr="00C50366" w:rsidRDefault="006264B1" w:rsidP="006264B1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Фондоемкость</w:t>
      </w:r>
      <w:proofErr w:type="spellEnd"/>
    </w:p>
    <w:p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Что</w:t>
      </w: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 относится к оборотным средствам:</w:t>
      </w:r>
    </w:p>
    <w:p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топливо;</w:t>
      </w:r>
    </w:p>
    <w:p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кредиторская задолженность;</w:t>
      </w:r>
    </w:p>
    <w:p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тара и тарные материалы;</w:t>
      </w:r>
    </w:p>
    <w:p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расходы на освоение будущих видов продукции и новых технологических процессов;</w:t>
      </w:r>
    </w:p>
    <w:p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незавершенное строительство;</w:t>
      </w:r>
    </w:p>
    <w:p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расходы по подписке на периодические издания;</w:t>
      </w:r>
    </w:p>
    <w:p w:rsidR="006264B1" w:rsidRPr="00C50366" w:rsidRDefault="006264B1" w:rsidP="006264B1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запасные части для текущего ремонта;</w:t>
      </w:r>
    </w:p>
    <w:p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Коэффициент оборачиваемости оборотных средств характеризуют:</w:t>
      </w:r>
    </w:p>
    <w:p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размер реализованной продукции, приходящейся на 1 руб. основных производственных фондов.</w:t>
      </w:r>
    </w:p>
    <w:p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средняя длительность одного оборота оборотных средств.</w:t>
      </w:r>
    </w:p>
    <w:p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количество оборотов оборотных средств за соответствующий отчетный период.</w:t>
      </w:r>
    </w:p>
    <w:p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уровень технической оснащенности труда.</w:t>
      </w:r>
    </w:p>
    <w:p w:rsidR="006264B1" w:rsidRPr="00C50366" w:rsidRDefault="006264B1" w:rsidP="006264B1">
      <w:pPr>
        <w:widowControl w:val="0"/>
        <w:numPr>
          <w:ilvl w:val="1"/>
          <w:numId w:val="17"/>
        </w:numPr>
        <w:shd w:val="clear" w:color="auto" w:fill="FFFFFF"/>
        <w:tabs>
          <w:tab w:val="left" w:pos="686"/>
          <w:tab w:val="left" w:pos="900"/>
          <w:tab w:val="left" w:pos="108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2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затраты производственных фондов на 1 руб. товарной продукции.</w:t>
      </w:r>
    </w:p>
    <w:p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Фондоотдача</w:t>
      </w: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рассчитывается как отношение стоимости </w:t>
      </w: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произведён</w:t>
      </w: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softHyphen/>
        <w:t>ной продукции к:</w:t>
      </w:r>
    </w:p>
    <w:p w:rsidR="006264B1" w:rsidRPr="00C50366" w:rsidRDefault="006264B1" w:rsidP="006264B1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среднегодовой стоимости основных производственных фондов.</w:t>
      </w:r>
    </w:p>
    <w:p w:rsidR="006264B1" w:rsidRPr="00C50366" w:rsidRDefault="006264B1" w:rsidP="006264B1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первоначальной стоимости.</w:t>
      </w:r>
    </w:p>
    <w:p w:rsidR="006264B1" w:rsidRPr="00C50366" w:rsidRDefault="006264B1" w:rsidP="006264B1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восстановительной.</w:t>
      </w:r>
    </w:p>
    <w:p w:rsidR="006264B1" w:rsidRPr="00C50366" w:rsidRDefault="006264B1" w:rsidP="006264B1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остаточной.</w:t>
      </w:r>
    </w:p>
    <w:p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Основные</w:t>
      </w:r>
      <w:r w:rsidRPr="00C50366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 производственные фонды на начало года, тыс. руб. = 55000</w:t>
      </w:r>
    </w:p>
    <w:p w:rsidR="006264B1" w:rsidRPr="00C50366" w:rsidRDefault="006264B1" w:rsidP="006264B1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Основные производственные фонды на конец года, тыс. руб. = 65000</w:t>
      </w:r>
      <w:r w:rsidRPr="00C50366">
        <w:rPr>
          <w:rFonts w:ascii="Times New Roman" w:eastAsia="Calibri" w:hAnsi="Times New Roman" w:cs="Times New Roman"/>
          <w:sz w:val="28"/>
          <w:szCs w:val="28"/>
        </w:rPr>
        <w:br/>
        <w:t>Произведено продукции за год, тыс. руб. – 6000</w:t>
      </w:r>
      <w:r w:rsidRPr="00C50366">
        <w:rPr>
          <w:rFonts w:ascii="Times New Roman" w:eastAsia="Calibri" w:hAnsi="Times New Roman" w:cs="Times New Roman"/>
          <w:sz w:val="28"/>
          <w:szCs w:val="28"/>
        </w:rPr>
        <w:br/>
        <w:t>Среднегодовая численность рабочих, чел. – 8000</w:t>
      </w:r>
      <w:r w:rsidRPr="00C50366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C50366">
        <w:rPr>
          <w:rFonts w:ascii="Times New Roman" w:eastAsia="Calibri" w:hAnsi="Times New Roman" w:cs="Times New Roman"/>
          <w:sz w:val="28"/>
          <w:szCs w:val="28"/>
        </w:rPr>
        <w:t>Фондовооруженность</w:t>
      </w:r>
      <w:proofErr w:type="spellEnd"/>
      <w:r w:rsidRPr="00C50366">
        <w:rPr>
          <w:rFonts w:ascii="Times New Roman" w:eastAsia="Calibri" w:hAnsi="Times New Roman" w:cs="Times New Roman"/>
          <w:sz w:val="28"/>
          <w:szCs w:val="28"/>
        </w:rPr>
        <w:t xml:space="preserve"> = … .</w:t>
      </w:r>
    </w:p>
    <w:p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0,1</w:t>
      </w:r>
    </w:p>
    <w:p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100</w:t>
      </w:r>
    </w:p>
    <w:p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0,75</w:t>
      </w:r>
    </w:p>
    <w:p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7,5</w:t>
      </w:r>
    </w:p>
    <w:p w:rsidR="006264B1" w:rsidRPr="00C50366" w:rsidRDefault="006264B1" w:rsidP="006264B1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1,75</w:t>
      </w:r>
    </w:p>
    <w:p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Объем номинального ВВП = … млрд руб., если объем реального ВВП составил 600 млрд руб. при росте цен на товары и услуги, входящие в состав ВВП, на 20%.</w:t>
      </w:r>
    </w:p>
    <w:p w:rsidR="006264B1" w:rsidRPr="00C50366" w:rsidRDefault="006264B1" w:rsidP="006264B1">
      <w:pPr>
        <w:numPr>
          <w:ilvl w:val="0"/>
          <w:numId w:val="20"/>
        </w:numPr>
        <w:tabs>
          <w:tab w:val="num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500</w:t>
      </w:r>
    </w:p>
    <w:p w:rsidR="006264B1" w:rsidRPr="00C50366" w:rsidRDefault="006264B1" w:rsidP="006264B1">
      <w:pPr>
        <w:numPr>
          <w:ilvl w:val="0"/>
          <w:numId w:val="20"/>
        </w:numPr>
        <w:tabs>
          <w:tab w:val="num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720</w:t>
      </w:r>
    </w:p>
    <w:p w:rsidR="006264B1" w:rsidRPr="00C50366" w:rsidRDefault="006264B1" w:rsidP="006264B1">
      <w:pPr>
        <w:numPr>
          <w:ilvl w:val="0"/>
          <w:numId w:val="20"/>
        </w:numPr>
        <w:tabs>
          <w:tab w:val="num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750</w:t>
      </w:r>
    </w:p>
    <w:p w:rsidR="006264B1" w:rsidRPr="00C50366" w:rsidRDefault="006264B1" w:rsidP="006264B1">
      <w:pPr>
        <w:numPr>
          <w:ilvl w:val="0"/>
          <w:numId w:val="20"/>
        </w:numPr>
        <w:tabs>
          <w:tab w:val="num" w:pos="54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480</w:t>
      </w:r>
    </w:p>
    <w:p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Количество реализованной продукции ... при условии:</w:t>
      </w:r>
    </w:p>
    <w:p w:rsidR="006264B1" w:rsidRPr="00C50366" w:rsidRDefault="006264B1" w:rsidP="006264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 xml:space="preserve">- стоимость реализованной продукции увеличилась на 15%. </w:t>
      </w:r>
    </w:p>
    <w:p w:rsidR="006264B1" w:rsidRPr="00C50366" w:rsidRDefault="006264B1" w:rsidP="006264B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 xml:space="preserve">- цены на продукцию увеличились на 15%. </w:t>
      </w:r>
    </w:p>
    <w:p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увеличилось на 30%</w:t>
      </w:r>
    </w:p>
    <w:p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уменьшилось на 30%</w:t>
      </w:r>
    </w:p>
    <w:p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не изменилось</w:t>
      </w:r>
    </w:p>
    <w:p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уменьшилось на 5%</w:t>
      </w:r>
    </w:p>
    <w:p w:rsidR="006264B1" w:rsidRPr="00C50366" w:rsidRDefault="006264B1" w:rsidP="006264B1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увеличилось на 5%</w:t>
      </w:r>
    </w:p>
    <w:p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внутренний продукт в рыночных ценах, исчисленный производственным методом, представляет собой сумму:</w:t>
      </w:r>
    </w:p>
    <w:p w:rsidR="006264B1" w:rsidRPr="00C50366" w:rsidRDefault="006264B1" w:rsidP="006264B1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конечного потребления продуктов (услуг), валового накопления и сальдо внешней торговли;</w:t>
      </w:r>
    </w:p>
    <w:p w:rsidR="006264B1" w:rsidRPr="00C50366" w:rsidRDefault="006264B1" w:rsidP="006264B1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валовой добавленной стоимости и чистых налогов на продукты и импорт;</w:t>
      </w:r>
    </w:p>
    <w:p w:rsidR="006264B1" w:rsidRPr="00C50366" w:rsidRDefault="006264B1" w:rsidP="006264B1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всех форм первичных доходов;</w:t>
      </w:r>
    </w:p>
    <w:p w:rsidR="006264B1" w:rsidRPr="00C50366" w:rsidRDefault="006264B1" w:rsidP="006264B1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чистого внутреннего продукта и потребленного основного капитала.</w:t>
      </w:r>
    </w:p>
    <w:p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национальный располагаемый доход представляет собой:</w:t>
      </w:r>
    </w:p>
    <w:p w:rsidR="006264B1" w:rsidRPr="00C50366" w:rsidRDefault="006264B1" w:rsidP="006264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а) сумму валового национального дохода и сальдо текущих трансфертов из-за границы;</w:t>
      </w:r>
    </w:p>
    <w:p w:rsidR="006264B1" w:rsidRPr="00C50366" w:rsidRDefault="006264B1" w:rsidP="006264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б) разность между валовым национальным сбережением и конечным потреблением;</w:t>
      </w:r>
    </w:p>
    <w:p w:rsidR="006264B1" w:rsidRPr="00C50366" w:rsidRDefault="006264B1" w:rsidP="006264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в) сумму чистого национального располагаемого дохода и потребления основного капитала;</w:t>
      </w:r>
    </w:p>
    <w:p w:rsidR="006264B1" w:rsidRPr="00C50366" w:rsidRDefault="006264B1" w:rsidP="006264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г) сумму доходов, которыми резиденты располагают для конечного потребления и сбережения.</w:t>
      </w:r>
    </w:p>
    <w:p w:rsidR="006264B1" w:rsidRPr="00C50366" w:rsidRDefault="006264B1" w:rsidP="006264B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264B1" w:rsidRPr="00C50366" w:rsidRDefault="006264B1" w:rsidP="006264B1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Валовой национальный располагаемый доход – сальдо первичных доходов, полученных от «остального мира» и переданных ему, – текущие трансферты, полученные резидентами от нерезидентов, + текущие трансферты, переданные резидентами нерезидентам.</w:t>
      </w:r>
    </w:p>
    <w:p w:rsidR="006264B1" w:rsidRPr="00C50366" w:rsidRDefault="006264B1" w:rsidP="00FD5284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Результаты этих вычислений представляют собой:</w:t>
      </w:r>
    </w:p>
    <w:p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а) валовой национальный доход;</w:t>
      </w:r>
    </w:p>
    <w:p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б) валовой внутренний продукт;</w:t>
      </w:r>
    </w:p>
    <w:p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в) валовой выпуск товаров и услуг;</w:t>
      </w:r>
    </w:p>
    <w:p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г) конечное потребление домашних хозяйств;</w:t>
      </w:r>
    </w:p>
    <w:p w:rsidR="006264B1" w:rsidRPr="00C50366" w:rsidRDefault="006264B1" w:rsidP="00FD52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366">
        <w:rPr>
          <w:rFonts w:ascii="Times New Roman" w:hAnsi="Times New Roman" w:cs="Times New Roman"/>
          <w:sz w:val="28"/>
          <w:szCs w:val="28"/>
        </w:rPr>
        <w:t>д) валовое накопление.</w:t>
      </w:r>
    </w:p>
    <w:p w:rsidR="002034A2" w:rsidRPr="00C50366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</w:rPr>
        <w:br w:type="page"/>
      </w:r>
    </w:p>
    <w:p w:rsidR="00ED624A" w:rsidRPr="00C50366" w:rsidRDefault="00ED624A" w:rsidP="00997B28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Имеются следующие данные о движении основных фондов фирмы в течение года (тыс. руб.):</w:t>
      </w:r>
    </w:p>
    <w:tbl>
      <w:tblPr>
        <w:tblStyle w:val="2"/>
        <w:tblW w:w="9296" w:type="dxa"/>
        <w:jc w:val="center"/>
        <w:tblLook w:val="04A0" w:firstRow="1" w:lastRow="0" w:firstColumn="1" w:lastColumn="0" w:noHBand="0" w:noVBand="1"/>
      </w:tblPr>
      <w:tblGrid>
        <w:gridCol w:w="8277"/>
        <w:gridCol w:w="1019"/>
      </w:tblGrid>
      <w:tr w:rsidR="00C50366" w:rsidRPr="00C50366" w:rsidTr="00ED624A">
        <w:trPr>
          <w:jc w:val="center"/>
        </w:trPr>
        <w:tc>
          <w:tcPr>
            <w:tcW w:w="8277" w:type="dxa"/>
          </w:tcPr>
          <w:p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Полная первоначальная стоимость основных фондов на начало года, </w:t>
            </w:r>
            <w:r w:rsidRPr="00C5036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1019" w:type="dxa"/>
            <w:vAlign w:val="center"/>
          </w:tcPr>
          <w:p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1720</w:t>
            </w:r>
          </w:p>
        </w:tc>
      </w:tr>
      <w:tr w:rsidR="00C50366" w:rsidRPr="00C50366" w:rsidTr="00ED624A">
        <w:trPr>
          <w:jc w:val="center"/>
        </w:trPr>
        <w:tc>
          <w:tcPr>
            <w:tcW w:w="8277" w:type="dxa"/>
          </w:tcPr>
          <w:p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Стоимость материальных запасов, </w:t>
            </w:r>
            <w:r w:rsidRPr="00C5036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1019" w:type="dxa"/>
            <w:vAlign w:val="center"/>
          </w:tcPr>
          <w:p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</w:p>
        </w:tc>
      </w:tr>
      <w:tr w:rsidR="00C50366" w:rsidRPr="00C50366" w:rsidTr="00ED624A">
        <w:trPr>
          <w:jc w:val="center"/>
        </w:trPr>
        <w:tc>
          <w:tcPr>
            <w:tcW w:w="8277" w:type="dxa"/>
          </w:tcPr>
          <w:p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июня введено в эксплуатацию новых основных фондов, </w:t>
            </w:r>
            <w:r w:rsidRPr="00C5036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1019" w:type="dxa"/>
            <w:vAlign w:val="center"/>
          </w:tcPr>
          <w:p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424</w:t>
            </w:r>
          </w:p>
        </w:tc>
      </w:tr>
      <w:tr w:rsidR="00C50366" w:rsidRPr="00C50366" w:rsidTr="00ED624A">
        <w:trPr>
          <w:jc w:val="center"/>
        </w:trPr>
        <w:tc>
          <w:tcPr>
            <w:tcW w:w="8277" w:type="dxa"/>
          </w:tcPr>
          <w:p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октября выбыло из-за ветхости и износа основных фондов по стоимости за вычетом износа, </w:t>
            </w:r>
            <w:r w:rsidRPr="00C5036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тыс. руб.</w:t>
            </w:r>
          </w:p>
        </w:tc>
        <w:tc>
          <w:tcPr>
            <w:tcW w:w="1019" w:type="dxa"/>
            <w:vAlign w:val="center"/>
          </w:tcPr>
          <w:p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C50366" w:rsidRPr="00C50366" w:rsidTr="00ED624A">
        <w:trPr>
          <w:jc w:val="center"/>
        </w:trPr>
        <w:tc>
          <w:tcPr>
            <w:tcW w:w="8277" w:type="dxa"/>
          </w:tcPr>
          <w:p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Износ основных фондов на начало года, %</w:t>
            </w:r>
          </w:p>
        </w:tc>
        <w:tc>
          <w:tcPr>
            <w:tcW w:w="1019" w:type="dxa"/>
            <w:vAlign w:val="center"/>
          </w:tcPr>
          <w:p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90</w:t>
            </w:r>
          </w:p>
        </w:tc>
      </w:tr>
      <w:tr w:rsidR="00C50366" w:rsidRPr="00C50366" w:rsidTr="00ED624A">
        <w:trPr>
          <w:jc w:val="center"/>
        </w:trPr>
        <w:tc>
          <w:tcPr>
            <w:tcW w:w="8277" w:type="dxa"/>
          </w:tcPr>
          <w:p w:rsidR="00ED624A" w:rsidRPr="00C50366" w:rsidRDefault="00ED624A" w:rsidP="00997B28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Среднегодовая норма амортизации, %</w:t>
            </w:r>
          </w:p>
        </w:tc>
        <w:tc>
          <w:tcPr>
            <w:tcW w:w="1019" w:type="dxa"/>
            <w:vAlign w:val="center"/>
          </w:tcPr>
          <w:p w:rsidR="00ED624A" w:rsidRPr="00C50366" w:rsidRDefault="00ED624A" w:rsidP="00997B2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3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ED624A" w:rsidRPr="00C50366" w:rsidRDefault="00ED624A" w:rsidP="00997B2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:rsidR="00ED624A" w:rsidRPr="00C50366" w:rsidRDefault="00ED624A" w:rsidP="00997B2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фондов фирмы на конец года:</w:t>
      </w:r>
    </w:p>
    <w:p w:rsidR="00ED624A" w:rsidRPr="00C50366" w:rsidRDefault="00ED624A" w:rsidP="00997B28">
      <w:pPr>
        <w:numPr>
          <w:ilvl w:val="2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полной первоначальной стоимости</w:t>
      </w:r>
    </w:p>
    <w:p w:rsidR="00ED624A" w:rsidRPr="00C50366" w:rsidRDefault="00ED624A" w:rsidP="00997B28">
      <w:pPr>
        <w:numPr>
          <w:ilvl w:val="2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первоначальной стоимости за вычетом износа</w:t>
      </w:r>
    </w:p>
    <w:p w:rsidR="00ED624A" w:rsidRPr="00C50366" w:rsidRDefault="00ED624A" w:rsidP="00997B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4A" w:rsidRPr="00C50366" w:rsidRDefault="00ED624A" w:rsidP="00997B28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bCs/>
          <w:iCs/>
          <w:sz w:val="28"/>
          <w:szCs w:val="28"/>
        </w:rPr>
        <w:t>Имеются следующие условные данные (млн долл.)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087"/>
        <w:gridCol w:w="1276"/>
      </w:tblGrid>
      <w:tr w:rsidR="00C50366" w:rsidRPr="00C50366" w:rsidTr="00ED624A">
        <w:trPr>
          <w:jc w:val="center"/>
        </w:trPr>
        <w:tc>
          <w:tcPr>
            <w:tcW w:w="5087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Чистая прибыль экономики</w:t>
            </w:r>
          </w:p>
        </w:tc>
        <w:tc>
          <w:tcPr>
            <w:tcW w:w="1276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3000</w:t>
            </w:r>
          </w:p>
        </w:tc>
      </w:tr>
      <w:tr w:rsidR="00C50366" w:rsidRPr="00C50366" w:rsidTr="00ED624A">
        <w:trPr>
          <w:jc w:val="center"/>
        </w:trPr>
        <w:tc>
          <w:tcPr>
            <w:tcW w:w="5087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1276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529</w:t>
            </w:r>
          </w:p>
        </w:tc>
      </w:tr>
      <w:tr w:rsidR="00C50366" w:rsidRPr="00C50366" w:rsidTr="00ED624A">
        <w:trPr>
          <w:jc w:val="center"/>
        </w:trPr>
        <w:tc>
          <w:tcPr>
            <w:tcW w:w="5087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Оплата труда наемных работников</w:t>
            </w:r>
          </w:p>
        </w:tc>
        <w:tc>
          <w:tcPr>
            <w:tcW w:w="1276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1265</w:t>
            </w:r>
          </w:p>
        </w:tc>
      </w:tr>
      <w:tr w:rsidR="00C50366" w:rsidRPr="00C50366" w:rsidTr="00ED624A">
        <w:trPr>
          <w:jc w:val="center"/>
        </w:trPr>
        <w:tc>
          <w:tcPr>
            <w:tcW w:w="5087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Отчисления на социальное страхование</w:t>
            </w:r>
          </w:p>
        </w:tc>
        <w:tc>
          <w:tcPr>
            <w:tcW w:w="1276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863</w:t>
            </w:r>
          </w:p>
        </w:tc>
      </w:tr>
      <w:tr w:rsidR="00C50366" w:rsidRPr="00C50366" w:rsidTr="00ED624A">
        <w:trPr>
          <w:jc w:val="center"/>
        </w:trPr>
        <w:tc>
          <w:tcPr>
            <w:tcW w:w="5087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Налоги на продукты</w:t>
            </w:r>
          </w:p>
        </w:tc>
        <w:tc>
          <w:tcPr>
            <w:tcW w:w="1276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1600</w:t>
            </w:r>
          </w:p>
        </w:tc>
      </w:tr>
      <w:tr w:rsidR="00C50366" w:rsidRPr="00C50366" w:rsidTr="00ED624A">
        <w:trPr>
          <w:jc w:val="center"/>
        </w:trPr>
        <w:tc>
          <w:tcPr>
            <w:tcW w:w="5087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Другие налоги на производство</w:t>
            </w:r>
          </w:p>
        </w:tc>
        <w:tc>
          <w:tcPr>
            <w:tcW w:w="1276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268</w:t>
            </w:r>
          </w:p>
        </w:tc>
      </w:tr>
      <w:tr w:rsidR="00C50366" w:rsidRPr="00C50366" w:rsidTr="00ED624A">
        <w:trPr>
          <w:jc w:val="center"/>
        </w:trPr>
        <w:tc>
          <w:tcPr>
            <w:tcW w:w="5087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Субсидии на производство</w:t>
            </w:r>
          </w:p>
        </w:tc>
        <w:tc>
          <w:tcPr>
            <w:tcW w:w="1276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438</w:t>
            </w:r>
          </w:p>
        </w:tc>
      </w:tr>
      <w:tr w:rsidR="00C50366" w:rsidRPr="00C50366" w:rsidTr="00ED624A">
        <w:trPr>
          <w:jc w:val="center"/>
        </w:trPr>
        <w:tc>
          <w:tcPr>
            <w:tcW w:w="5087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Налоги на импорт товаров и услуг</w:t>
            </w:r>
          </w:p>
        </w:tc>
        <w:tc>
          <w:tcPr>
            <w:tcW w:w="1276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658</w:t>
            </w:r>
          </w:p>
        </w:tc>
      </w:tr>
      <w:tr w:rsidR="00C50366" w:rsidRPr="00C50366" w:rsidTr="00ED624A">
        <w:trPr>
          <w:jc w:val="center"/>
        </w:trPr>
        <w:tc>
          <w:tcPr>
            <w:tcW w:w="5087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Субсидии на импорт товаров и услуг</w:t>
            </w:r>
          </w:p>
        </w:tc>
        <w:tc>
          <w:tcPr>
            <w:tcW w:w="1276" w:type="dxa"/>
          </w:tcPr>
          <w:p w:rsidR="00ED624A" w:rsidRPr="00C50366" w:rsidRDefault="00ED624A" w:rsidP="00997B28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156</w:t>
            </w:r>
          </w:p>
        </w:tc>
      </w:tr>
    </w:tbl>
    <w:p w:rsidR="00ED624A" w:rsidRPr="00C50366" w:rsidRDefault="00ED624A" w:rsidP="00997B28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Определите валовой внутренний продукт.</w:t>
      </w:r>
    </w:p>
    <w:p w:rsidR="00997B28" w:rsidRPr="00C50366" w:rsidRDefault="00997B28" w:rsidP="00997B2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7B28" w:rsidRPr="00C50366" w:rsidRDefault="00997B28" w:rsidP="00997B28">
      <w:pPr>
        <w:numPr>
          <w:ilvl w:val="0"/>
          <w:numId w:val="10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0366">
        <w:rPr>
          <w:rFonts w:ascii="Times New Roman" w:eastAsia="Calibri" w:hAnsi="Times New Roman" w:cs="Times New Roman"/>
          <w:iCs/>
          <w:sz w:val="28"/>
          <w:szCs w:val="28"/>
        </w:rPr>
        <w:t>По предприятию за два года имеются следующие данные (тыс. руб.):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C50366" w:rsidRPr="00C50366" w:rsidTr="00997B28">
        <w:trPr>
          <w:jc w:val="center"/>
        </w:trPr>
        <w:tc>
          <w:tcPr>
            <w:tcW w:w="6204" w:type="dxa"/>
            <w:vMerge w:val="restart"/>
            <w:vAlign w:val="center"/>
          </w:tcPr>
          <w:p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367" w:type="dxa"/>
            <w:gridSpan w:val="2"/>
            <w:vAlign w:val="center"/>
          </w:tcPr>
          <w:p w:rsidR="00997B28" w:rsidRPr="00C50366" w:rsidRDefault="00997B28" w:rsidP="00997B28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Период</w:t>
            </w:r>
          </w:p>
        </w:tc>
      </w:tr>
      <w:tr w:rsidR="00C50366" w:rsidRPr="00C50366" w:rsidTr="00997B28">
        <w:trPr>
          <w:jc w:val="center"/>
        </w:trPr>
        <w:tc>
          <w:tcPr>
            <w:tcW w:w="6204" w:type="dxa"/>
            <w:vMerge/>
          </w:tcPr>
          <w:p w:rsidR="00997B28" w:rsidRPr="00C50366" w:rsidRDefault="00997B28" w:rsidP="0090390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7B28" w:rsidRPr="00C50366" w:rsidRDefault="00997B28" w:rsidP="00997B28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базисный</w:t>
            </w:r>
          </w:p>
        </w:tc>
        <w:tc>
          <w:tcPr>
            <w:tcW w:w="1666" w:type="dxa"/>
            <w:vAlign w:val="center"/>
          </w:tcPr>
          <w:p w:rsidR="00997B28" w:rsidRPr="00C50366" w:rsidRDefault="00997B28" w:rsidP="00997B28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отчетный</w:t>
            </w:r>
          </w:p>
        </w:tc>
      </w:tr>
      <w:tr w:rsidR="00C50366" w:rsidRPr="00C50366" w:rsidTr="00903904">
        <w:trPr>
          <w:jc w:val="center"/>
        </w:trPr>
        <w:tc>
          <w:tcPr>
            <w:tcW w:w="6204" w:type="dxa"/>
          </w:tcPr>
          <w:p w:rsidR="00997B28" w:rsidRPr="00C50366" w:rsidRDefault="00997B28" w:rsidP="0090390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1701" w:type="dxa"/>
            <w:vAlign w:val="center"/>
          </w:tcPr>
          <w:p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120</w:t>
            </w:r>
            <w:r w:rsidRPr="00C50366">
              <w:rPr>
                <w:rFonts w:ascii="Times New Roman" w:eastAsia="Calibri" w:hAnsi="Times New Roman"/>
                <w:sz w:val="28"/>
                <w:szCs w:val="28"/>
              </w:rPr>
              <w:t>453</w:t>
            </w:r>
          </w:p>
        </w:tc>
        <w:tc>
          <w:tcPr>
            <w:tcW w:w="1666" w:type="dxa"/>
            <w:vAlign w:val="center"/>
          </w:tcPr>
          <w:p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</w:t>
            </w:r>
            <w:r w:rsidRPr="00C50366">
              <w:rPr>
                <w:rFonts w:ascii="Times New Roman" w:eastAsia="Calibri" w:hAnsi="Times New Roman"/>
                <w:sz w:val="28"/>
                <w:szCs w:val="28"/>
              </w:rPr>
              <w:t>8935</w:t>
            </w:r>
          </w:p>
        </w:tc>
      </w:tr>
      <w:tr w:rsidR="00C50366" w:rsidRPr="00C50366" w:rsidTr="00903904">
        <w:trPr>
          <w:jc w:val="center"/>
        </w:trPr>
        <w:tc>
          <w:tcPr>
            <w:tcW w:w="6204" w:type="dxa"/>
          </w:tcPr>
          <w:p w:rsidR="00997B28" w:rsidRPr="00C50366" w:rsidRDefault="00997B28" w:rsidP="00903904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</w:rPr>
              <w:t>2. Средняя годовая стоимость оборотных фондов</w:t>
            </w:r>
          </w:p>
        </w:tc>
        <w:tc>
          <w:tcPr>
            <w:tcW w:w="1701" w:type="dxa"/>
            <w:vAlign w:val="center"/>
          </w:tcPr>
          <w:p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32</w:t>
            </w:r>
            <w:r w:rsidRPr="00C50366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666" w:type="dxa"/>
            <w:vAlign w:val="center"/>
          </w:tcPr>
          <w:p w:rsidR="00997B28" w:rsidRPr="00C50366" w:rsidRDefault="00997B28" w:rsidP="009039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03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35373</w:t>
            </w:r>
          </w:p>
        </w:tc>
      </w:tr>
    </w:tbl>
    <w:p w:rsidR="00997B28" w:rsidRPr="00C50366" w:rsidRDefault="00997B28" w:rsidP="00997B2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:rsidR="00997B28" w:rsidRPr="00C50366" w:rsidRDefault="00997B28" w:rsidP="00997B28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показатели оборачиваемости оборотных фондов за каждый год;</w:t>
      </w:r>
    </w:p>
    <w:p w:rsidR="00997B28" w:rsidRPr="00C50366" w:rsidRDefault="00997B28" w:rsidP="00997B28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0366">
        <w:rPr>
          <w:rFonts w:ascii="Times New Roman" w:eastAsia="Calibri" w:hAnsi="Times New Roman" w:cs="Times New Roman"/>
          <w:sz w:val="28"/>
          <w:szCs w:val="28"/>
        </w:rPr>
        <w:t>динамику показателей оборачиваемости.</w:t>
      </w:r>
    </w:p>
    <w:p w:rsidR="00ED624A" w:rsidRPr="00C50366" w:rsidRDefault="00ED624A" w:rsidP="00ED624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624A" w:rsidRPr="00C50366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B13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0F235935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140121F5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159A7AE3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0FC"/>
    <w:multiLevelType w:val="hybridMultilevel"/>
    <w:tmpl w:val="A6A0F9E0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2D600A7A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43B36142"/>
    <w:multiLevelType w:val="hybridMultilevel"/>
    <w:tmpl w:val="8C5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4EC34EC8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50076166"/>
    <w:multiLevelType w:val="hybridMultilevel"/>
    <w:tmpl w:val="C062F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53061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5C7A05E3"/>
    <w:multiLevelType w:val="multilevel"/>
    <w:tmpl w:val="34D88B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5FD40936"/>
    <w:multiLevelType w:val="multilevel"/>
    <w:tmpl w:val="C602BE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0D4D80"/>
    <w:multiLevelType w:val="hybridMultilevel"/>
    <w:tmpl w:val="2466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77116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1" w15:restartNumberingAfterBreak="0">
    <w:nsid w:val="680A233D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961DC"/>
    <w:multiLevelType w:val="hybridMultilevel"/>
    <w:tmpl w:val="D7E27C62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4" w15:restartNumberingAfterBreak="0">
    <w:nsid w:val="7BA66AC1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14"/>
  </w:num>
  <w:num w:numId="5">
    <w:abstractNumId w:val="8"/>
  </w:num>
  <w:num w:numId="6">
    <w:abstractNumId w:val="6"/>
  </w:num>
  <w:num w:numId="7">
    <w:abstractNumId w:val="12"/>
  </w:num>
  <w:num w:numId="8">
    <w:abstractNumId w:val="23"/>
  </w:num>
  <w:num w:numId="9">
    <w:abstractNumId w:val="2"/>
  </w:num>
  <w:num w:numId="10">
    <w:abstractNumId w:val="19"/>
  </w:num>
  <w:num w:numId="11">
    <w:abstractNumId w:val="15"/>
  </w:num>
  <w:num w:numId="12">
    <w:abstractNumId w:val="24"/>
  </w:num>
  <w:num w:numId="13">
    <w:abstractNumId w:val="0"/>
  </w:num>
  <w:num w:numId="14">
    <w:abstractNumId w:val="3"/>
  </w:num>
  <w:num w:numId="15">
    <w:abstractNumId w:val="16"/>
  </w:num>
  <w:num w:numId="16">
    <w:abstractNumId w:val="20"/>
  </w:num>
  <w:num w:numId="17">
    <w:abstractNumId w:val="13"/>
  </w:num>
  <w:num w:numId="18">
    <w:abstractNumId w:val="1"/>
  </w:num>
  <w:num w:numId="19">
    <w:abstractNumId w:val="7"/>
  </w:num>
  <w:num w:numId="20">
    <w:abstractNumId w:val="5"/>
  </w:num>
  <w:num w:numId="21">
    <w:abstractNumId w:val="10"/>
  </w:num>
  <w:num w:numId="22">
    <w:abstractNumId w:val="21"/>
  </w:num>
  <w:num w:numId="23">
    <w:abstractNumId w:val="4"/>
  </w:num>
  <w:num w:numId="24">
    <w:abstractNumId w:val="17"/>
  </w:num>
  <w:num w:numId="2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97B2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366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97B2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9A75B-6C42-40D1-8ACA-B85258F4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 Скрипниченко</cp:lastModifiedBy>
  <cp:revision>79</cp:revision>
  <dcterms:created xsi:type="dcterms:W3CDTF">2015-03-22T13:10:00Z</dcterms:created>
  <dcterms:modified xsi:type="dcterms:W3CDTF">2019-05-24T04:44:00Z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